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SC" w:hAnsi="Noto Sans CJK SC" w:eastAsia="Noto Sans CJK SC"/>
          <w:color w:val="000000"/>
          <w:sz w:val="40"/>
        </w:rPr>
        <w:t>香水包装样品验收记录</w:t>
      </w:r>
    </w:p>
    <w:p>
      <w:r>
        <w:rPr>
          <w:rFonts w:ascii="Noto Sans CJK SC" w:hAnsi="Noto Sans CJK SC" w:eastAsia="Noto Sans CJK SC"/>
          <w:color w:val="000000"/>
          <w:sz w:val="21"/>
        </w:rPr>
        <w:t>记录具体样品版本、观察结果和证据。适配与外观通过不等于运输验证通过；未检查的项目保持待确认。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样品编号与版本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产品与包装配置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检查人及检查日期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证据文件夹编号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检查项目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完整瓶体适配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瓶盖与盒盖净空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瓶身抓取与取出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内托就位与固定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闭合与开启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图稿与香型识别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整饰与可见损伤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完整运输包装证据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修改与放行记录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需要处理的观察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责任人与处理动作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修改后样品编号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复查证据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结构批准范围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图稿与整饰批准范围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运输验证范围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最终处理状态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r>
        <w:rPr>
          <w:rFonts w:ascii="Noto Sans CJK SC" w:hAnsi="Noto Sans CJK SC" w:eastAsia="Noto Sans CJK SC"/>
          <w:color w:val="000000"/>
          <w:sz w:val="21"/>
        </w:rPr>
        <w:t>保留批准版本及其附件。材料、瓶盖、图稿或装箱配置变更后，应重新检查受影响的项目。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SC" w:hAnsi="Noto Sans CJK SC" w:eastAsia="Noto Sans CJK SC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SC" w:hAnsi="Noto Sans CJK SC" w:eastAsia="Noto Sans CJK SC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