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 w:val="1"/>
      </w:pPr>
      <w:r>
        <w:rPr>
          <w:rFonts w:ascii="Arial" w:hAnsi="Arial" w:eastAsia="Arial" w:cs="Arial"/>
          <w:color w:val="000000"/>
          <w:sz w:val="40"/>
          <w:rtl w:val="1"/>
        </w:rPr>
        <w:t>موجز مشروع تغليف العطور</w:t>
      </w:r>
    </w:p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أكمل هذا الموجز قبل طلب السعر. سجّل المنتج بعد تركيب مكوناته ونطاق التوريد. تبقى البنود غير المحسومة معلّقة حتى تأكيدها مع المورد.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المشروع وإصداره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صاحب القرار ووسيلة التواصل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المنتج ومكونات الإغلاق المركبة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الأبعاد الخارجية للقارورة والوحدة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الوزن بعد الملء ومصدره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اتجاه العرض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الكمية لكل صنف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التوريد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قناة البيع أو مناسبة الإهداء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الملفات المرجعية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r>
        <w:br w:type="page"/>
      </w:r>
    </w:p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المواصفات ومتطلبات الاعتماد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إصدارات الطباعة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مواصفة الخامة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أولويات التشطيب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لغات التصميم وإصداره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الحشوة والملحقات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مسؤولية عبوة الشحن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متطلبات اعتماد العينة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موعد التسليم المطلوب ومتطلباته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الوجهة ونطاق التسليم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التغييرات التي تستلزم إعادة الفحص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بانتظار الإدخال أو التأكيد</w:t>
            </w:r>
          </w:p>
        </w:tc>
      </w:tr>
    </w:tbl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احتفظ بالإصدار المعتمد وملفاته. أعد الفحوص المتأثرة عند تغيير الخامة أو الغطاء أو التصميم أو تكوين التعبئة.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