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SC" w:hAnsi="Noto Sans CJK SC" w:eastAsia="Noto Sans CJK SC"/>
          <w:color w:val="000000"/>
          <w:sz w:val="40"/>
        </w:rPr>
        <w:t>香水包装项目需求表</w:t>
      </w:r>
    </w:p>
    <w:p>
      <w:r>
        <w:rPr>
          <w:rFonts w:ascii="Noto Sans CJK SC" w:hAnsi="Noto Sans CJK SC" w:eastAsia="Noto Sans CJK SC"/>
          <w:color w:val="000000"/>
          <w:sz w:val="21"/>
        </w:rPr>
        <w:t>询价前填写本表，记录装配完整的产品信息和供货范围。尚未确定的项目保持待确认，并与供应商逐项核实。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项目编号与版本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决策负责人及联系方式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产品与完整封口组件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瓶体外廓及单位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灌装后重量与数据来源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展示方向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每个 SKU 的数量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供货范围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销售或礼赠场景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参考文件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Noto Sans CJK SC" w:hAnsi="Noto Sans CJK SC" w:eastAsia="Noto Sans CJK SC"/>
          <w:color w:val="000000"/>
          <w:sz w:val="28"/>
        </w:rPr>
        <w:t>规格与批准要求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印刷版本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材料规格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整饰优先级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图稿语言与版本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内托及配件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运输包装责任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样品批准要求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期望交付及前置条件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目的地与交付范围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b/>
                <w:color w:val="000000"/>
                <w:sz w:val="21"/>
              </w:rPr>
              <w:t>需要重新检查的变更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Noto Sans CJK SC" w:hAnsi="Noto Sans CJK SC" w:eastAsia="Noto Sans CJK SC"/>
                <w:color w:val="000000"/>
                <w:sz w:val="21"/>
              </w:rPr>
              <w:t>待填写或确认</w:t>
            </w:r>
          </w:p>
        </w:tc>
      </w:tr>
    </w:tbl>
    <w:p>
      <w:r>
        <w:rPr>
          <w:rFonts w:ascii="Noto Sans CJK SC" w:hAnsi="Noto Sans CJK SC" w:eastAsia="Noto Sans CJK SC"/>
          <w:color w:val="000000"/>
          <w:sz w:val="21"/>
        </w:rPr>
        <w:t>保留批准版本及其附件。材料、瓶盖、图稿或装箱配置变更后，应重新检查受影响的项目。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SC" w:hAnsi="Noto Sans CJK SC" w:eastAsia="Noto Sans CJK SC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SC" w:hAnsi="Noto Sans CJK SC" w:eastAsia="Noto Sans CJK SC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